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ADMISSION PROCEDURE FOR  MDS COURSE </w:t>
      </w:r>
    </w:p>
    <w:p w:rsidR="00000000" w:rsidDel="00000000" w:rsidP="00000000" w:rsidRDefault="00000000" w:rsidRPr="00000000">
      <w:pPr>
        <w:shd w:fill="ffffff" w:val="clear"/>
        <w:spacing w:after="280" w:before="280" w:line="240" w:lineRule="auto"/>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MASTER OF DENTAL SURGERY (MDS)</w:t>
      </w:r>
      <w:r w:rsidDel="00000000" w:rsidR="00000000" w:rsidRPr="00000000">
        <w:rPr>
          <w:rtl w:val="0"/>
        </w:rPr>
      </w:r>
    </w:p>
    <w:p w:rsidR="00000000" w:rsidDel="00000000" w:rsidP="00000000" w:rsidRDefault="00000000" w:rsidRPr="00000000">
      <w:pPr>
        <w:shd w:fill="ffffff" w:val="clea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MDS is available in all nine recognised specialties.</w:t>
      </w:r>
      <w:r w:rsidDel="00000000" w:rsidR="00000000" w:rsidRPr="00000000">
        <w:rPr>
          <w:rtl w:val="0"/>
        </w:rPr>
      </w:r>
    </w:p>
    <w:tbl>
      <w:tblPr>
        <w:tblStyle w:val="Table1"/>
        <w:tblW w:w="541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915"/>
        <w:gridCol w:w="3690"/>
        <w:gridCol w:w="810"/>
        <w:tblGridChange w:id="0">
          <w:tblGrid>
            <w:gridCol w:w="915"/>
            <w:gridCol w:w="3690"/>
            <w:gridCol w:w="810"/>
          </w:tblGrid>
        </w:tblGridChange>
      </w:tblGrid>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sz w:val="20"/>
                <w:szCs w:val="20"/>
                <w:rtl w:val="0"/>
              </w:rPr>
              <w:t xml:space="preserve">Sr. 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Specialty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Seats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Prosthodontics, Crown &amp; Bridge, Aesthetic Dentistry and Oral Implantology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Periodontics and Oral Implantology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Oral &amp; Maxillofacial Surgery and Oral Implantology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Conservative Dentistry, Endodontics &amp; Aesthetic Dentistry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Orthodontics &amp; Dentofacial Orthopaedics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Oral Pathology, Microbiology &amp; Forensic Odontology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Public Health Dentistry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Paedodontics &amp; Preventive Dentistry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Oral Medicine &amp; Radiology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r>
    </w:tbl>
    <w:p w:rsidR="00000000" w:rsidDel="00000000" w:rsidP="00000000" w:rsidRDefault="00000000" w:rsidRPr="00000000">
      <w:pPr>
        <w:shd w:fill="ffffff" w:val="clear"/>
        <w:spacing w:after="280" w:before="100" w:line="240" w:lineRule="auto"/>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Eligibility</w:t>
      </w:r>
      <w:r w:rsidDel="00000000" w:rsidR="00000000" w:rsidRPr="00000000">
        <w:rPr>
          <w:rtl w:val="0"/>
        </w:rPr>
      </w:r>
    </w:p>
    <w:p w:rsidR="00000000" w:rsidDel="00000000" w:rsidP="00000000" w:rsidRDefault="00000000" w:rsidRPr="00000000">
      <w:pPr>
        <w:numPr>
          <w:ilvl w:val="0"/>
          <w:numId w:val="1"/>
        </w:numPr>
        <w:shd w:fill="ffffff" w:val="clear"/>
        <w:spacing w:after="280" w:before="0" w:line="240" w:lineRule="auto"/>
        <w:ind w:left="720" w:hanging="360"/>
        <w:contextualSpacing w:val="0"/>
        <w:rPr/>
      </w:pPr>
      <w:r w:rsidDel="00000000" w:rsidR="00000000" w:rsidRPr="00000000">
        <w:rPr>
          <w:rFonts w:ascii="Arial" w:cs="Arial" w:eastAsia="Arial" w:hAnsi="Arial"/>
          <w:sz w:val="20"/>
          <w:szCs w:val="20"/>
          <w:rtl w:val="0"/>
        </w:rPr>
        <w:t xml:space="preserve">A candidate for admission to the MDS course must have a BDS degree from a college and university recognised by the Dental Council of India, New Delhi, or an equivalent qualification recognised by the Rajiv Gandhi University of Health Sciences, Bengaluru (Bangalore) and the Dental Council of India.</w:t>
      </w:r>
    </w:p>
    <w:p w:rsidR="00000000" w:rsidDel="00000000" w:rsidP="00000000" w:rsidRDefault="00000000" w:rsidRPr="00000000">
      <w:pPr>
        <w:shd w:fill="ffffff" w:val="clea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Duration of the Course</w:t>
      </w:r>
      <w:r w:rsidDel="00000000" w:rsidR="00000000" w:rsidRPr="00000000">
        <w:rPr>
          <w:rFonts w:ascii="Arial" w:cs="Arial" w:eastAsia="Arial" w:hAnsi="Arial"/>
          <w:sz w:val="20"/>
          <w:szCs w:val="20"/>
          <w:rtl w:val="0"/>
        </w:rPr>
        <w:br w:type="textWrapping"/>
        <w:t xml:space="preserve">The MDS course is of three years duration and students are required to be enrolled as full-time candidates.</w:t>
      </w:r>
    </w:p>
    <w:p w:rsidR="00000000" w:rsidDel="00000000" w:rsidP="00000000" w:rsidRDefault="00000000" w:rsidRPr="00000000">
      <w:pPr>
        <w:shd w:fill="ffffff" w:val="clea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Allocation of seats</w:t>
      </w:r>
      <w:r w:rsidDel="00000000" w:rsidR="00000000" w:rsidRPr="00000000">
        <w:rPr>
          <w:rtl w:val="0"/>
        </w:rPr>
      </w:r>
    </w:p>
    <w:tbl>
      <w:tblPr>
        <w:tblStyle w:val="Table2"/>
        <w:tblW w:w="939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853"/>
        <w:gridCol w:w="2988"/>
        <w:gridCol w:w="1174"/>
        <w:gridCol w:w="4375"/>
        <w:tblGridChange w:id="0">
          <w:tblGrid>
            <w:gridCol w:w="853"/>
            <w:gridCol w:w="2988"/>
            <w:gridCol w:w="1174"/>
            <w:gridCol w:w="4375"/>
          </w:tblGrid>
        </w:tblGridChange>
      </w:tblGrid>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01.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Govt. seats (20%)</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 seats</w:t>
            </w:r>
          </w:p>
        </w:tc>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Students selected on the basis of National Eligibility and Entrance Test (</w:t>
            </w:r>
            <w:r w:rsidDel="00000000" w:rsidR="00000000" w:rsidRPr="00000000">
              <w:rPr>
                <w:rFonts w:ascii="Arial" w:cs="Arial" w:eastAsia="Arial" w:hAnsi="Arial"/>
                <w:b w:val="1"/>
                <w:sz w:val="20"/>
                <w:szCs w:val="20"/>
                <w:rtl w:val="0"/>
              </w:rPr>
              <w:t xml:space="preserve">NEET) </w:t>
            </w:r>
            <w:r w:rsidDel="00000000" w:rsidR="00000000" w:rsidRPr="00000000">
              <w:rPr>
                <w:rFonts w:ascii="Arial" w:cs="Arial" w:eastAsia="Arial" w:hAnsi="Arial"/>
                <w:sz w:val="20"/>
                <w:szCs w:val="20"/>
                <w:rtl w:val="0"/>
              </w:rPr>
              <w:t xml:space="preserve">and counseling done by the Karnataka Examination Authority </w:t>
            </w:r>
            <w:r w:rsidDel="00000000" w:rsidR="00000000" w:rsidRPr="00000000">
              <w:rPr>
                <w:rFonts w:ascii="Arial" w:cs="Arial" w:eastAsia="Arial" w:hAnsi="Arial"/>
                <w:b w:val="1"/>
                <w:sz w:val="20"/>
                <w:szCs w:val="20"/>
                <w:rtl w:val="0"/>
              </w:rPr>
              <w:t xml:space="preserve">(KEA).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28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Private seats (55%)</w:t>
            </w:r>
          </w:p>
          <w:p w:rsidR="00000000" w:rsidDel="00000000" w:rsidP="00000000" w:rsidRDefault="00000000" w:rsidRPr="00000000">
            <w:pPr>
              <w:numPr>
                <w:ilvl w:val="0"/>
                <w:numId w:val="2"/>
              </w:numPr>
              <w:spacing w:after="0" w:before="0" w:line="240" w:lineRule="auto"/>
              <w:ind w:left="720" w:hanging="360"/>
              <w:contextualSpacing w:val="0"/>
              <w:rPr/>
            </w:pPr>
            <w:r w:rsidDel="00000000" w:rsidR="00000000" w:rsidRPr="00000000">
              <w:rPr>
                <w:rFonts w:ascii="Arial" w:cs="Arial" w:eastAsia="Arial" w:hAnsi="Arial"/>
                <w:sz w:val="20"/>
                <w:szCs w:val="20"/>
                <w:rtl w:val="0"/>
              </w:rPr>
              <w:t xml:space="preserve">Linguistic Tulu Minority</w:t>
            </w:r>
          </w:p>
          <w:p w:rsidR="00000000" w:rsidDel="00000000" w:rsidP="00000000" w:rsidRDefault="00000000" w:rsidRPr="00000000">
            <w:pPr>
              <w:numPr>
                <w:ilvl w:val="0"/>
                <w:numId w:val="2"/>
              </w:numPr>
              <w:spacing w:after="100" w:before="0" w:line="240" w:lineRule="auto"/>
              <w:ind w:left="720" w:hanging="360"/>
              <w:contextualSpacing w:val="0"/>
              <w:rPr/>
            </w:pPr>
            <w:r w:rsidDel="00000000" w:rsidR="00000000" w:rsidRPr="00000000">
              <w:rPr>
                <w:rFonts w:ascii="Arial" w:cs="Arial" w:eastAsia="Arial" w:hAnsi="Arial"/>
                <w:sz w:val="20"/>
                <w:szCs w:val="20"/>
                <w:rtl w:val="0"/>
              </w:rPr>
              <w:t xml:space="preserve">General Merit</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28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17 seats</w:t>
            </w:r>
          </w:p>
          <w:p w:rsidR="00000000" w:rsidDel="00000000" w:rsidP="00000000" w:rsidRDefault="00000000" w:rsidRPr="00000000">
            <w:pPr>
              <w:spacing w:after="100"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 seats</w:t>
            </w:r>
          </w:p>
        </w:tc>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03.</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NRI/Management (25%)</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 seats</w:t>
            </w:r>
          </w:p>
        </w:tc>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documents for MDS Admission</w:t>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tl w:val="0"/>
        </w:rPr>
      </w:r>
    </w:p>
    <w:tbl>
      <w:tblPr>
        <w:tblStyle w:val="Table3"/>
        <w:tblW w:w="9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2"/>
        <w:gridCol w:w="8688"/>
        <w:tblGridChange w:id="0">
          <w:tblGrid>
            <w:gridCol w:w="582"/>
            <w:gridCol w:w="8688"/>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pPr>
              <w:pStyle w:val="Heading1"/>
              <w:contextualSpacing w:val="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Original</w:t>
            </w:r>
            <w:r w:rsidDel="00000000" w:rsidR="00000000" w:rsidRPr="00000000">
              <w:rPr>
                <w:rFonts w:ascii="Arial" w:cs="Arial" w:eastAsia="Arial" w:hAnsi="Arial"/>
                <w:sz w:val="20"/>
                <w:szCs w:val="20"/>
                <w:rtl w:val="0"/>
              </w:rPr>
              <w:t xml:space="preserve"> seat allotment Order    </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Original </w:t>
            </w:r>
            <w:r w:rsidDel="00000000" w:rsidR="00000000" w:rsidRPr="00000000">
              <w:rPr>
                <w:rFonts w:ascii="Arial" w:cs="Arial" w:eastAsia="Arial" w:hAnsi="Arial"/>
                <w:sz w:val="20"/>
                <w:szCs w:val="20"/>
                <w:rtl w:val="0"/>
              </w:rPr>
              <w:t xml:space="preserve">acknowledgement card of certificates and two Xerox copy</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Original</w:t>
            </w:r>
            <w:r w:rsidDel="00000000" w:rsidR="00000000" w:rsidRPr="00000000">
              <w:rPr>
                <w:rFonts w:ascii="Arial" w:cs="Arial" w:eastAsia="Arial" w:hAnsi="Arial"/>
                <w:sz w:val="20"/>
                <w:szCs w:val="20"/>
                <w:rtl w:val="0"/>
              </w:rPr>
              <w:t xml:space="preserve"> NEET  Hall ticket and Rank Card with two Xerox copy </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Proof  certificate</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pPr>
              <w:pStyle w:val="Heading1"/>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Latest pass port size photographs (05 copy) &amp; Stamp Size (05 copy)</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BDS Pass/Degree certificate issued by the University</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Marks cards of university examination passed  (I-IV BDS Course)</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Attempt certificate issued by the College Principal</w:t>
            </w:r>
          </w:p>
        </w:tc>
      </w:tr>
      <w:tr>
        <w:trPr>
          <w:trHeight w:val="2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Certificate regarding the recognition of previous Dental College, by the Dental Council of India</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Completion of rotating internship from a recognized College</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certificate by any State Dental Council</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Proof of SC/ST/Category I/OBC </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Transfer Certificate</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Migration Certificate (Non-Karnataka students only)</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Service Certificate in case of In-Service candidate</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Certificate obtained from Rajiv Gandhi University, Bangalore </w:t>
            </w:r>
            <w:r w:rsidDel="00000000" w:rsidR="00000000" w:rsidRPr="00000000">
              <w:rPr>
                <w:rFonts w:ascii="Arial" w:cs="Arial" w:eastAsia="Arial" w:hAnsi="Arial"/>
                <w:b w:val="1"/>
                <w:sz w:val="20"/>
                <w:szCs w:val="20"/>
                <w:rtl w:val="0"/>
              </w:rPr>
              <w:t xml:space="preserve">(Important</w:t>
            </w:r>
            <w:r w:rsidDel="00000000" w:rsidR="00000000" w:rsidRPr="00000000">
              <w:rPr>
                <w:rFonts w:ascii="Arial" w:cs="Arial" w:eastAsia="Arial" w:hAnsi="Arial"/>
                <w:sz w:val="20"/>
                <w:szCs w:val="20"/>
                <w:rtl w:val="0"/>
              </w:rPr>
              <w:t xml:space="preserve">) other than students from RGUHS University, Karnataka.</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Mother Tongue “Tulu” certificate in case of Tulu Minority students</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Sponsorship letter in case of NRI students with sponsorer  pass port copy</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Fees payment by Dollars in case of NRI students</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Undertaking by the candidate with witnesses for fees payment.</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Under taking from Govt. quota students for the Govt. conditions</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Pan Card No.                                         (Enclose  copy of parents/guardian)</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Affidavit - Anti Ragging affidavit by student &amp; parent as per DCI Norms.</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Candidate Email:                                                                                                              Blood Group:</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 Email Id: </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Medical Fitness certificate </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Aadhar Card of the candidate</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Bank A/c details with pass book Xerox</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DCI Undertaking in bond paper</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Bank Gurantee</w:t>
            </w:r>
          </w:p>
        </w:tc>
      </w:tr>
    </w:tbl>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Tahoma" w:cs="Tahoma" w:eastAsia="Tahoma" w:hAnsi="Tahoma"/>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