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hd w:fill="ffffff" w:val="clear"/>
        <w:spacing w:after="280" w:before="100" w:line="240" w:lineRule="auto"/>
        <w:contextualSpacing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ADMISSION PROCEDURE FOR BDS COURSE </w:t>
      </w:r>
    </w:p>
    <w:p w:rsidR="00000000" w:rsidDel="00000000" w:rsidP="00000000" w:rsidRDefault="00000000" w:rsidRPr="00000000">
      <w:pPr>
        <w:shd w:fill="ffffff" w:val="clear"/>
        <w:spacing w:after="280" w:before="0" w:line="240"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BACHELOR OF DENTAL SURGERY (BDS)</w:t>
      </w:r>
      <w:r w:rsidDel="00000000" w:rsidR="00000000" w:rsidRPr="00000000">
        <w:rPr>
          <w:rtl w:val="0"/>
        </w:rPr>
      </w:r>
    </w:p>
    <w:p w:rsidR="00000000" w:rsidDel="00000000" w:rsidP="00000000" w:rsidRDefault="00000000" w:rsidRPr="00000000">
      <w:pPr>
        <w:shd w:fill="ffffff" w:val="clear"/>
        <w:spacing w:after="280" w:before="0" w:line="240" w:lineRule="auto"/>
        <w:contextualSpacing w:val="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Eligibility for admission</w:t>
      </w:r>
    </w:p>
    <w:p w:rsidR="00000000" w:rsidDel="00000000" w:rsidP="00000000" w:rsidRDefault="00000000" w:rsidRPr="00000000">
      <w:pPr>
        <w:shd w:fill="ffffff" w:val="clear"/>
        <w:spacing w:after="280" w:before="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Candidates who have passed the two-year Pre-University Examination of Karnataka’s Pre-University Board (or equivalent qualifying examination of other recognised boards) with English, Physics, Chemistry and Biology as optional subjects are eligible for admission to the first year. Candidate shall have obtained not less than 50% of the aggregate marks in Physics, Chemistry and Biology taken together, and a pass in the English language in the qualifying examination, or any other examination recognised as equivalent by Rajiv Gandhi University of Health Sciences, Bengaluru (Bangalore), Karnataka. Scheduled Caste/Scheduled Tribe (SC/ST) students or students of any other categories notified by the government shall be given a relaxation of 10% in the aggregate marks required for eligibility.</w:t>
      </w:r>
    </w:p>
    <w:p w:rsidR="00000000" w:rsidDel="00000000" w:rsidP="00000000" w:rsidRDefault="00000000" w:rsidRPr="00000000">
      <w:pPr>
        <w:shd w:fill="ffffff" w:val="clear"/>
        <w:spacing w:after="280" w:before="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The candidate shall have completed the age of 17 years at the time of admission or will complete this age on 31st December of the calendar year in which he/she seeks admission.</w:t>
      </w:r>
    </w:p>
    <w:p w:rsidR="00000000" w:rsidDel="00000000" w:rsidP="00000000" w:rsidRDefault="00000000" w:rsidRPr="00000000">
      <w:pPr>
        <w:shd w:fill="ffffff" w:val="clear"/>
        <w:spacing w:after="280" w:before="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sz w:val="20"/>
          <w:szCs w:val="20"/>
          <w:rtl w:val="0"/>
        </w:rPr>
        <w:t xml:space="preserve">Duration of the Course</w:t>
      </w:r>
      <w:r w:rsidDel="00000000" w:rsidR="00000000" w:rsidRPr="00000000">
        <w:rPr>
          <w:rFonts w:ascii="Arial" w:cs="Arial" w:eastAsia="Arial" w:hAnsi="Arial"/>
          <w:sz w:val="20"/>
          <w:szCs w:val="20"/>
          <w:rtl w:val="0"/>
        </w:rPr>
        <w:br w:type="textWrapping"/>
        <w:br w:type="textWrapping"/>
        <w:t xml:space="preserve">The BDS programme is of </w:t>
      </w:r>
      <w:r w:rsidDel="00000000" w:rsidR="00000000" w:rsidRPr="00000000">
        <w:rPr>
          <w:rFonts w:ascii="Arial" w:cs="Arial" w:eastAsia="Arial" w:hAnsi="Arial"/>
          <w:b w:val="1"/>
          <w:i w:val="1"/>
          <w:sz w:val="20"/>
          <w:szCs w:val="20"/>
          <w:rtl w:val="0"/>
        </w:rPr>
        <w:t xml:space="preserve">four years</w:t>
      </w:r>
      <w:r w:rsidDel="00000000" w:rsidR="00000000" w:rsidRPr="00000000">
        <w:rPr>
          <w:rFonts w:ascii="Arial" w:cs="Arial" w:eastAsia="Arial" w:hAnsi="Arial"/>
          <w:sz w:val="20"/>
          <w:szCs w:val="20"/>
          <w:rtl w:val="0"/>
        </w:rPr>
        <w:t xml:space="preserve"> duration with 240 teaching days in each academic year plus one year of compulsory rotatory internship. During this period, the student is required to be engaged in full-time study at the institution.</w:t>
      </w:r>
    </w:p>
    <w:p w:rsidR="00000000" w:rsidDel="00000000" w:rsidP="00000000" w:rsidRDefault="00000000" w:rsidRPr="00000000">
      <w:pPr>
        <w:shd w:fill="ffffff" w:val="clear"/>
        <w:spacing w:after="280" w:before="0" w:line="240" w:lineRule="auto"/>
        <w:contextualSpacing w:val="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Student Intake — the division of 100 students enrolled each year for the BDS course is as follows:</w:t>
      </w:r>
      <w:r w:rsidDel="00000000" w:rsidR="00000000" w:rsidRPr="00000000">
        <w:rPr>
          <w:rtl w:val="0"/>
        </w:rPr>
      </w:r>
    </w:p>
    <w:tbl>
      <w:tblPr>
        <w:tblStyle w:val="Table1"/>
        <w:tblW w:w="939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242"/>
        <w:gridCol w:w="1860"/>
        <w:gridCol w:w="2582"/>
        <w:gridCol w:w="4706"/>
        <w:tblGridChange w:id="0">
          <w:tblGrid>
            <w:gridCol w:w="242"/>
            <w:gridCol w:w="1860"/>
            <w:gridCol w:w="2582"/>
            <w:gridCol w:w="4706"/>
          </w:tblGrid>
        </w:tblGridChange>
      </w:tblGrid>
      <w:t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100" w:before="10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Government Seats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100" w:before="10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25 seats</w:t>
            </w:r>
          </w:p>
        </w:tc>
        <w:tc>
          <w:tcPr>
            <w:vMerge w:val="restart"/>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pPr>
              <w:spacing w:after="100" w:before="100" w:line="240" w:lineRule="auto"/>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Students selected on the basis of National Eligibility and Entrance Test (</w:t>
            </w:r>
            <w:r w:rsidDel="00000000" w:rsidR="00000000" w:rsidRPr="00000000">
              <w:rPr>
                <w:rFonts w:ascii="Arial" w:cs="Arial" w:eastAsia="Arial" w:hAnsi="Arial"/>
                <w:b w:val="1"/>
                <w:sz w:val="20"/>
                <w:szCs w:val="20"/>
                <w:rtl w:val="0"/>
              </w:rPr>
              <w:t xml:space="preserve">NEET) </w:t>
            </w:r>
            <w:r w:rsidDel="00000000" w:rsidR="00000000" w:rsidRPr="00000000">
              <w:rPr>
                <w:rFonts w:ascii="Arial" w:cs="Arial" w:eastAsia="Arial" w:hAnsi="Arial"/>
                <w:sz w:val="20"/>
                <w:szCs w:val="20"/>
                <w:rtl w:val="0"/>
              </w:rPr>
              <w:t xml:space="preserve">and counseling done by the Karnataka Examination Authority </w:t>
            </w:r>
            <w:r w:rsidDel="00000000" w:rsidR="00000000" w:rsidRPr="00000000">
              <w:rPr>
                <w:rFonts w:ascii="Arial" w:cs="Arial" w:eastAsia="Arial" w:hAnsi="Arial"/>
                <w:b w:val="1"/>
                <w:sz w:val="20"/>
                <w:szCs w:val="20"/>
                <w:rtl w:val="0"/>
              </w:rPr>
              <w:t xml:space="preserve">(KEA).</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100" w:before="10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ii)</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100" w:before="10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Private seats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280" w:before="10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55 seats</w:t>
            </w:r>
          </w:p>
          <w:p w:rsidR="00000000" w:rsidDel="00000000" w:rsidP="00000000" w:rsidRDefault="00000000" w:rsidRPr="00000000">
            <w:pPr>
              <w:numPr>
                <w:ilvl w:val="0"/>
                <w:numId w:val="3"/>
              </w:numPr>
              <w:spacing w:after="0" w:before="0" w:line="240" w:lineRule="auto"/>
              <w:ind w:left="720" w:hanging="360"/>
              <w:contextualSpacing w:val="0"/>
              <w:rPr/>
            </w:pPr>
            <w:r w:rsidDel="00000000" w:rsidR="00000000" w:rsidRPr="00000000">
              <w:rPr>
                <w:rFonts w:ascii="Arial" w:cs="Arial" w:eastAsia="Arial" w:hAnsi="Arial"/>
                <w:sz w:val="20"/>
                <w:szCs w:val="20"/>
                <w:rtl w:val="0"/>
              </w:rPr>
              <w:t xml:space="preserve">Linguistic Tulu Minority (36 seats)</w:t>
            </w:r>
          </w:p>
          <w:p w:rsidR="00000000" w:rsidDel="00000000" w:rsidP="00000000" w:rsidRDefault="00000000" w:rsidRPr="00000000">
            <w:pPr>
              <w:numPr>
                <w:ilvl w:val="0"/>
                <w:numId w:val="3"/>
              </w:numPr>
              <w:spacing w:after="100" w:before="0" w:line="240" w:lineRule="auto"/>
              <w:ind w:left="720" w:hanging="360"/>
              <w:contextualSpacing w:val="0"/>
              <w:rPr/>
            </w:pPr>
            <w:r w:rsidDel="00000000" w:rsidR="00000000" w:rsidRPr="00000000">
              <w:rPr>
                <w:rFonts w:ascii="Arial" w:cs="Arial" w:eastAsia="Arial" w:hAnsi="Arial"/>
                <w:sz w:val="20"/>
                <w:szCs w:val="20"/>
                <w:rtl w:val="0"/>
              </w:rPr>
              <w:t xml:space="preserve">General Merit (19 seats)</w:t>
            </w:r>
          </w:p>
        </w:tc>
        <w:tc>
          <w:tcPr>
            <w:vMerge w:val="continue"/>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iii)</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NRI/PIO/OCI seats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15 seats</w:t>
            </w:r>
          </w:p>
        </w:tc>
        <w:tc>
          <w:tcPr>
            <w:vMerge w:val="continue"/>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100" w:before="10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iv)</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100" w:before="10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IP / Management seats</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pPr>
              <w:spacing w:after="100" w:before="10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05 seats</w:t>
            </w:r>
          </w:p>
        </w:tc>
        <w:tc>
          <w:tcPr>
            <w:vMerge w:val="continue"/>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List of documents for BDS Admission</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tl w:val="0"/>
        </w:rPr>
      </w:r>
    </w:p>
    <w:tbl>
      <w:tblPr>
        <w:tblStyle w:val="Table2"/>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
        <w:gridCol w:w="8563"/>
        <w:tblGridChange w:id="0">
          <w:tblGrid>
            <w:gridCol w:w="797"/>
            <w:gridCol w:w="8563"/>
          </w:tblGrid>
        </w:tblGridChange>
      </w:tblGrid>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Original seat allotment order  </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NEET  Rank Card  and Admission Ticket</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PUC II or 10+2 Marks Card</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X</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Marks Card or Date of Birth Proof certificate</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Transfer Certificate or school leaving certificate</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Physical Fitness/Medical Certificate</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Mother Tongue Tulu Certificate in case of Tulu students</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Pass port size Photographs [5 copies + 5 stamp size]</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Migration Certificate in case of Non Karnataka Students</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b w:val="1"/>
                <w:sz w:val="20"/>
                <w:szCs w:val="20"/>
              </w:rPr>
            </w:pPr>
            <w:r w:rsidDel="00000000" w:rsidR="00000000" w:rsidRPr="00000000">
              <w:rPr>
                <w:rFonts w:ascii="Arial" w:cs="Arial" w:eastAsia="Arial" w:hAnsi="Arial"/>
                <w:sz w:val="20"/>
                <w:szCs w:val="20"/>
                <w:rtl w:val="0"/>
              </w:rPr>
              <w:t xml:space="preserve">Eligibility Certificate from Rajiv Gandhi University in case of students who have passed other than Karnataka PUC Exam.</w:t>
            </w:r>
            <w:r w:rsidDel="00000000" w:rsidR="00000000" w:rsidRPr="00000000">
              <w:rPr>
                <w:rtl w:val="0"/>
              </w:rPr>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Undertaking to be given in the prescribed format in connection with payment of fees for remaining 4 years as fixed by the competent authority.</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Caste/Income and category certificate</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Candidate E-mail: _________________________________________Blood group :</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Parents Email ID:                                                    </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PAN card copy of parents and Aadhar card/Voter ID </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Bank A/c details with pass book xerox</w:t>
            </w:r>
          </w:p>
        </w:tc>
      </w:tr>
      <w:tr>
        <w:tc>
          <w:tcPr>
            <w:shd w:fill="ffffff" w:val="clear"/>
          </w:tcPr>
          <w:p w:rsidR="00000000" w:rsidDel="00000000" w:rsidP="00000000" w:rsidRDefault="00000000" w:rsidRPr="00000000">
            <w:pPr>
              <w:numPr>
                <w:ilvl w:val="0"/>
                <w:numId w:val="1"/>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spacing w:after="0" w:line="240" w:lineRule="auto"/>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Online Affidavit - Anti Ragging bond by student &amp; parent as per DCI Norms.</w:t>
            </w:r>
          </w:p>
        </w:tc>
      </w:tr>
    </w:tbl>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List of documents for BDS Admission, NRI Category</w:t>
      </w:r>
    </w:p>
    <w:p w:rsidR="00000000" w:rsidDel="00000000" w:rsidP="00000000" w:rsidRDefault="00000000" w:rsidRPr="00000000">
      <w:pPr>
        <w:spacing w:after="0" w:line="240" w:lineRule="auto"/>
        <w:contextualSpacing w:val="0"/>
        <w:rPr>
          <w:rFonts w:ascii="Arial" w:cs="Arial" w:eastAsia="Arial" w:hAnsi="Arial"/>
          <w:b w:val="1"/>
          <w:sz w:val="20"/>
          <w:szCs w:val="20"/>
        </w:rPr>
      </w:pPr>
      <w:r w:rsidDel="00000000" w:rsidR="00000000" w:rsidRPr="00000000">
        <w:rPr>
          <w:rtl w:val="0"/>
        </w:rPr>
      </w:r>
    </w:p>
    <w:tbl>
      <w:tblPr>
        <w:tblStyle w:val="Table3"/>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8820"/>
        <w:tblGridChange w:id="0">
          <w:tblGrid>
            <w:gridCol w:w="540"/>
            <w:gridCol w:w="8820"/>
          </w:tblGrid>
        </w:tblGridChange>
      </w:tblGrid>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Original seat allotment order </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NEET  Rank Card  and Admission Ticket</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PUC II or 10+2 Marks Card</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X</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Marks Card or Date of Birth Proof certificate</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Transfer Certificate or school leaving certificate</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Physical Fitness/Medical Certificate</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Pass port size Photographs [5 copies + 5 stamp size]</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b w:val="1"/>
                <w:sz w:val="20"/>
                <w:szCs w:val="20"/>
              </w:rPr>
            </w:pPr>
            <w:r w:rsidDel="00000000" w:rsidR="00000000" w:rsidRPr="00000000">
              <w:rPr>
                <w:rFonts w:ascii="Arial" w:cs="Arial" w:eastAsia="Arial" w:hAnsi="Arial"/>
                <w:sz w:val="20"/>
                <w:szCs w:val="20"/>
                <w:rtl w:val="0"/>
              </w:rPr>
              <w:t xml:space="preserve">Eligibility Certificate from Rajiv Gandhi University of Health Sciences, Bangalore.</w:t>
            </w:r>
            <w:r w:rsidDel="00000000" w:rsidR="00000000" w:rsidRPr="00000000">
              <w:rPr>
                <w:rtl w:val="0"/>
              </w:rPr>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Sponsorship letter </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Fees payment by dollars </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b w:val="1"/>
                <w:sz w:val="20"/>
                <w:szCs w:val="20"/>
              </w:rPr>
            </w:pPr>
            <w:r w:rsidDel="00000000" w:rsidR="00000000" w:rsidRPr="00000000">
              <w:rPr>
                <w:rFonts w:ascii="Arial" w:cs="Arial" w:eastAsia="Arial" w:hAnsi="Arial"/>
                <w:sz w:val="20"/>
                <w:szCs w:val="20"/>
                <w:rtl w:val="0"/>
              </w:rPr>
              <w:t xml:space="preserve">Candidate’s passport/VISA/Resident VISA </w:t>
            </w:r>
            <w:r w:rsidDel="00000000" w:rsidR="00000000" w:rsidRPr="00000000">
              <w:rPr>
                <w:rtl w:val="0"/>
              </w:rPr>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Citizenship of the candidate </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Income Tax Documents required as per the Income Tax Act 1961 for NRI’s</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Candidates’ parents resident certificate issued by the Embassy of that country complying with the Income Tax Rules/any other certificates to establish evidence that they are resident of that country/affidavit on Rs.100/- e stamp paper to that effect</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No objection certificate from Govt. of India, local police permission and Aid test certificate in case of foreigner and NRI students are required after confirmation of admission</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Undertaking to be given in the prescribed format in connection with payment of fees for remaining 4 years as fixed by the competent authority.</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Fonts w:ascii="Arial" w:cs="Arial" w:eastAsia="Arial" w:hAnsi="Arial"/>
                <w:sz w:val="20"/>
                <w:szCs w:val="20"/>
                <w:rtl w:val="0"/>
              </w:rPr>
              <w:t xml:space="preserve"> PU/12</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standard study Certificate for having studied outside India issued by concerned college with seal signature of Principal</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Candidate E-mail: </w:t>
            </w:r>
            <w:r w:rsidDel="00000000" w:rsidR="00000000" w:rsidRPr="00000000">
              <w:rPr>
                <w:rFonts w:ascii="Arial" w:cs="Arial" w:eastAsia="Arial" w:hAnsi="Arial"/>
                <w:color w:val="ffffff"/>
                <w:sz w:val="20"/>
                <w:szCs w:val="20"/>
                <w:rtl w:val="0"/>
              </w:rPr>
              <w:t xml:space="preserve">_________________________________________</w:t>
            </w:r>
            <w:r w:rsidDel="00000000" w:rsidR="00000000" w:rsidRPr="00000000">
              <w:rPr>
                <w:rFonts w:ascii="Arial" w:cs="Arial" w:eastAsia="Arial" w:hAnsi="Arial"/>
                <w:sz w:val="20"/>
                <w:szCs w:val="20"/>
                <w:rtl w:val="0"/>
              </w:rPr>
              <w:t xml:space="preserve">Blood group :</w:t>
            </w:r>
          </w:p>
        </w:tc>
      </w:tr>
      <w:tr>
        <w:trPr>
          <w:trHeight w:val="280" w:hRule="atLeast"/>
        </w:trP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Parents Email ID:                                                    </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PAN card copy of parents and Aadhar card/Voter ID of candidate</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Bank A/c details with pass book xerox</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Online Affidavit - Anti Ragging bond by student &amp; parent as per DCI Norms.</w:t>
            </w:r>
          </w:p>
        </w:tc>
      </w:tr>
      <w:tr>
        <w:tc>
          <w:tcPr>
            <w:shd w:fill="ffffff" w:val="clear"/>
          </w:tcPr>
          <w:p w:rsidR="00000000" w:rsidDel="00000000" w:rsidP="00000000" w:rsidRDefault="00000000" w:rsidRPr="00000000">
            <w:pPr>
              <w:numPr>
                <w:ilvl w:val="0"/>
                <w:numId w:val="2"/>
              </w:numPr>
              <w:spacing w:after="0" w:line="240" w:lineRule="auto"/>
              <w:ind w:left="360" w:hanging="360"/>
              <w:contextualSpacing w:val="0"/>
              <w:rPr>
                <w:rFonts w:ascii="Arial" w:cs="Arial" w:eastAsia="Arial" w:hAnsi="Arial"/>
                <w:sz w:val="20"/>
                <w:szCs w:val="20"/>
              </w:rPr>
            </w:pPr>
            <w:r w:rsidDel="00000000" w:rsidR="00000000" w:rsidRPr="00000000">
              <w:rPr>
                <w:rtl w:val="0"/>
              </w:rPr>
            </w:r>
          </w:p>
        </w:tc>
        <w:tc>
          <w:tcPr>
            <w:shd w:fill="ffffff" w:val="clear"/>
            <w:vAlign w:val="center"/>
          </w:tcPr>
          <w:p w:rsidR="00000000" w:rsidDel="00000000" w:rsidP="00000000" w:rsidRDefault="00000000" w:rsidRPr="00000000">
            <w:pPr>
              <w:ind w:right="-18"/>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Ward Certificate Annexed -NRI</w:t>
            </w:r>
          </w:p>
        </w:tc>
      </w:tr>
    </w:tbl>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pPr>
        <w:shd w:fill="ffffff" w:val="clear"/>
        <w:spacing w:after="280" w:before="0" w:line="240"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both"/>
    </w:pPr>
    <w:rPr>
      <w:rFonts w:ascii="Tahoma" w:cs="Tahoma" w:eastAsia="Tahoma" w:hAnsi="Tahoma"/>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